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51E" w:rsidRDefault="00642256">
      <w:pPr>
        <w:pStyle w:val="Title"/>
      </w:pPr>
      <w:r>
        <w:t>Brighton Municipal Court</w:t>
      </w:r>
    </w:p>
    <w:p w:rsidR="00855982" w:rsidRPr="00855982" w:rsidRDefault="00642256" w:rsidP="00855982">
      <w:pPr>
        <w:pStyle w:val="Heading1"/>
      </w:pPr>
      <w:r>
        <w:t>Procedures for attorneys appearing in brighton</w:t>
      </w:r>
    </w:p>
    <w:p w:rsidR="00642256" w:rsidRDefault="00642256">
      <w:r>
        <w:tab/>
        <w:t>The following is an informational guide on the procedures set forth by Brighton Municipal Court Administrative Order 17-01.</w:t>
      </w:r>
    </w:p>
    <w:p w:rsidR="00642256" w:rsidRDefault="00642256">
      <w:r>
        <w:tab/>
        <w:t xml:space="preserve">Attorneys entering on a case are required to file an Entry of Appearance prior to their appearance. If an attorney appears without an entry, one may be provided by the clerk when the attorney appears for court. </w:t>
      </w:r>
    </w:p>
    <w:p w:rsidR="00642256" w:rsidRDefault="00642256">
      <w:r>
        <w:tab/>
        <w:t xml:space="preserve">Not guilty pleas may not be entered based on a pleading. The Brighton Municipal court requires an entry of a not guilty plea on the record at the time of the pre-trial conference. This ensures that cases are tried within the 91 day speedy trial limit, and saves on trial dates for cases that cannot be resolved without a trial. </w:t>
      </w:r>
      <w:r w:rsidR="00B94C59">
        <w:rPr>
          <w:b/>
        </w:rPr>
        <w:t>If a pleading is</w:t>
      </w:r>
      <w:r w:rsidR="00B94C59" w:rsidRPr="00B94C59">
        <w:rPr>
          <w:b/>
        </w:rPr>
        <w:t xml:space="preserve"> filed that enters a plea the pleading will be returned to the attorney and a revised entry will be required.</w:t>
      </w:r>
    </w:p>
    <w:p w:rsidR="00642256" w:rsidRDefault="00642256">
      <w:r>
        <w:tab/>
        <w:t xml:space="preserve">The filing of an Entry of Appearance </w:t>
      </w:r>
      <w:r w:rsidR="00B94C59">
        <w:t>may</w:t>
      </w:r>
      <w:bookmarkStart w:id="0" w:name="_GoBack"/>
      <w:bookmarkEnd w:id="0"/>
      <w:r>
        <w:t xml:space="preserve"> allow an attorney to bypass an arraignment date if a request for a pre-trial conference is made at the time of the entry. A court clerk will be in contact with the attorney’s office to schedule the pre-trial conference according to the court calendar. </w:t>
      </w:r>
    </w:p>
    <w:p w:rsidR="00642256" w:rsidRDefault="00642256">
      <w:r>
        <w:tab/>
        <w:t xml:space="preserve">It is our procedure to allow parties the opportunity to discuss the case with the City Prosecutor prior to speaking with the judge. Immediately following, the parties may proceed to disposition or entry of not guilty plea and setting of a court trial. This practice makes it possible for many cases to be resolved with just one appearance date. It is advised that the defendant accompany the attorney at the pre-trial conference so that if a disposition, if reached, can be put on the record. Or it allows the court the chance to accept the not guilty plea and set for trial </w:t>
      </w:r>
      <w:r w:rsidR="00C347A7">
        <w:t xml:space="preserve">on a date when the defendant may be available. </w:t>
      </w:r>
    </w:p>
    <w:p w:rsidR="00C347A7" w:rsidRPr="00855982" w:rsidRDefault="00C347A7">
      <w:r>
        <w:tab/>
        <w:t xml:space="preserve">Finally, matters involving out of state defendants may be resolved in the following two ways. (1) </w:t>
      </w:r>
      <w:r w:rsidR="0097451E">
        <w:t>the d</w:t>
      </w:r>
      <w:r>
        <w:t xml:space="preserve">efendant will appear for a disposition hearing so they may interact with probation staff and receive necessary information to be able to complete their conditions and pay any required fees (2) the attorney may appear on behalf of the defendant request a continuances to allow the defendant the opportunity to complete the imposed conditions prior to the next appearance date. </w:t>
      </w:r>
      <w:r w:rsidRPr="00C347A7">
        <w:rPr>
          <w:rFonts w:ascii="Calibri" w:hAnsi="Calibri" w:cs="Times New Roman"/>
        </w:rPr>
        <w:t>All required fines and fees must be paid in full within 2 weeks of the 2</w:t>
      </w:r>
      <w:r w:rsidRPr="00C347A7">
        <w:rPr>
          <w:rFonts w:ascii="Calibri" w:hAnsi="Calibri" w:cs="Times New Roman"/>
          <w:vertAlign w:val="superscript"/>
        </w:rPr>
        <w:t>nd</w:t>
      </w:r>
      <w:r w:rsidRPr="00C347A7">
        <w:rPr>
          <w:rFonts w:ascii="Calibri" w:hAnsi="Calibri" w:cs="Times New Roman"/>
        </w:rPr>
        <w:t xml:space="preserve"> </w:t>
      </w:r>
      <w:r>
        <w:rPr>
          <w:rFonts w:ascii="Calibri" w:hAnsi="Calibri" w:cs="Times New Roman"/>
        </w:rPr>
        <w:t>pre-trial conference</w:t>
      </w:r>
      <w:r w:rsidRPr="00C347A7">
        <w:rPr>
          <w:rFonts w:ascii="Calibri" w:hAnsi="Calibri" w:cs="Times New Roman"/>
        </w:rPr>
        <w:t xml:space="preserve"> date.</w:t>
      </w:r>
    </w:p>
    <w:sectPr w:rsidR="00C347A7" w:rsidRPr="00855982" w:rsidSect="00855982">
      <w:footerReference w:type="defaul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256" w:rsidRDefault="00642256" w:rsidP="00855982">
      <w:pPr>
        <w:spacing w:after="0" w:line="240" w:lineRule="auto"/>
      </w:pPr>
      <w:r>
        <w:separator/>
      </w:r>
    </w:p>
  </w:endnote>
  <w:endnote w:type="continuationSeparator" w:id="0">
    <w:p w:rsidR="00642256" w:rsidRDefault="00642256"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59961"/>
      <w:docPartObj>
        <w:docPartGallery w:val="Page Numbers (Bottom of Page)"/>
        <w:docPartUnique/>
      </w:docPartObj>
    </w:sdtPr>
    <w:sdtEndPr>
      <w:rPr>
        <w:noProof/>
      </w:rPr>
    </w:sdtEndPr>
    <w:sdtContent>
      <w:p w:rsidR="00855982" w:rsidRDefault="0085598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256" w:rsidRDefault="00642256" w:rsidP="00855982">
      <w:pPr>
        <w:spacing w:after="0" w:line="240" w:lineRule="auto"/>
      </w:pPr>
      <w:r>
        <w:separator/>
      </w:r>
    </w:p>
  </w:footnote>
  <w:footnote w:type="continuationSeparator" w:id="0">
    <w:p w:rsidR="00642256" w:rsidRDefault="00642256" w:rsidP="008559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0"/>
  </w:num>
  <w:num w:numId="14">
    <w:abstractNumId w:val="17"/>
  </w:num>
  <w:num w:numId="15">
    <w:abstractNumId w:val="11"/>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3"/>
  </w:num>
  <w:num w:numId="28">
    <w:abstractNumId w:val="1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56"/>
    <w:rsid w:val="001118C3"/>
    <w:rsid w:val="001D4362"/>
    <w:rsid w:val="005B2F79"/>
    <w:rsid w:val="00642256"/>
    <w:rsid w:val="007833A7"/>
    <w:rsid w:val="00855982"/>
    <w:rsid w:val="0097451E"/>
    <w:rsid w:val="00A10484"/>
    <w:rsid w:val="00B94C59"/>
    <w:rsid w:val="00C347A7"/>
    <w:rsid w:val="00FD26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B5EEB-202E-4721-89BE-8528A2E4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semiHidden/>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mos\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71810-3EF7-4C8E-BCBA-248ABE2BAB39}">
  <ds:schemaRefs>
    <ds:schemaRef ds:uri="4873beb7-5857-4685-be1f-d57550cc96cc"/>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3.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design (blank)</Template>
  <TotalTime>52</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Ramos, Michelle</dc:creator>
  <cp:lastModifiedBy>Ramos, Michelle</cp:lastModifiedBy>
  <cp:revision>4</cp:revision>
  <cp:lastPrinted>2017-02-28T21:18:00Z</cp:lastPrinted>
  <dcterms:created xsi:type="dcterms:W3CDTF">2017-02-28T21:00:00Z</dcterms:created>
  <dcterms:modified xsi:type="dcterms:W3CDTF">2017-04-07T18:18:00Z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